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09D7" w14:textId="77777777" w:rsidR="00582079" w:rsidRPr="00582079" w:rsidRDefault="00582079" w:rsidP="00582079">
      <w:pPr>
        <w:widowControl w:val="0"/>
        <w:autoSpaceDE w:val="0"/>
        <w:autoSpaceDN w:val="0"/>
        <w:adjustRightInd w:val="0"/>
        <w:spacing w:after="0" w:line="360" w:lineRule="auto"/>
        <w:ind w:left="90"/>
        <w:jc w:val="center"/>
        <w:rPr>
          <w:rFonts w:ascii="Times New Roman" w:hAnsi="Times New Roman"/>
          <w:b/>
          <w:bCs/>
          <w:lang w:val="en-IN"/>
        </w:rPr>
      </w:pPr>
      <w:r w:rsidRPr="00582079">
        <w:rPr>
          <w:rFonts w:ascii="Times New Roman" w:hAnsi="Times New Roman"/>
          <w:b/>
          <w:bCs/>
          <w:lang w:val="en-IN"/>
        </w:rPr>
        <w:t>MARLIN INFRASTRUCTURES PRIVATE LIMITED</w:t>
      </w:r>
    </w:p>
    <w:p w14:paraId="6475A70A" w14:textId="7314D436" w:rsidR="00582079" w:rsidRPr="00582079" w:rsidRDefault="00582079" w:rsidP="00582079">
      <w:pPr>
        <w:widowControl w:val="0"/>
        <w:autoSpaceDE w:val="0"/>
        <w:autoSpaceDN w:val="0"/>
        <w:adjustRightInd w:val="0"/>
        <w:spacing w:after="0" w:line="360" w:lineRule="auto"/>
        <w:ind w:left="90"/>
        <w:jc w:val="center"/>
        <w:rPr>
          <w:rFonts w:ascii="Times New Roman" w:hAnsi="Times New Roman"/>
          <w:b/>
          <w:bCs/>
        </w:rPr>
      </w:pPr>
      <w:r w:rsidRPr="00582079">
        <w:rPr>
          <w:rFonts w:ascii="Times New Roman" w:hAnsi="Times New Roman"/>
          <w:b/>
          <w:bCs/>
        </w:rPr>
        <w:t>CORPORATE SOCIAL RESPONSIBILITY</w:t>
      </w:r>
      <w:r w:rsidRPr="00582079">
        <w:rPr>
          <w:rFonts w:ascii="Times New Roman" w:hAnsi="Times New Roman"/>
        </w:rPr>
        <w:t xml:space="preserve"> </w:t>
      </w:r>
      <w:r w:rsidRPr="00582079">
        <w:rPr>
          <w:rFonts w:ascii="Times New Roman" w:hAnsi="Times New Roman"/>
          <w:b/>
          <w:bCs/>
        </w:rPr>
        <w:t xml:space="preserve">ACTIVITIES </w:t>
      </w:r>
    </w:p>
    <w:p w14:paraId="680532CE" w14:textId="77777777" w:rsidR="00582079" w:rsidRPr="009454A1" w:rsidRDefault="00582079" w:rsidP="00582079">
      <w:pPr>
        <w:widowControl w:val="0"/>
        <w:overflowPunct w:val="0"/>
        <w:autoSpaceDE w:val="0"/>
        <w:autoSpaceDN w:val="0"/>
        <w:adjustRightInd w:val="0"/>
        <w:spacing w:after="0" w:line="240" w:lineRule="auto"/>
        <w:jc w:val="right"/>
        <w:rPr>
          <w:rFonts w:ascii="Times New Roman" w:hAnsi="Times New Roman"/>
        </w:rPr>
      </w:pPr>
    </w:p>
    <w:p w14:paraId="2A7AFD47" w14:textId="77777777" w:rsidR="00582079" w:rsidRPr="00484B1F" w:rsidRDefault="00582079" w:rsidP="00582079">
      <w:pPr>
        <w:widowControl w:val="0"/>
        <w:overflowPunct w:val="0"/>
        <w:autoSpaceDE w:val="0"/>
        <w:autoSpaceDN w:val="0"/>
        <w:adjustRightInd w:val="0"/>
        <w:spacing w:after="0" w:line="240" w:lineRule="auto"/>
        <w:jc w:val="right"/>
        <w:rPr>
          <w:rFonts w:ascii="Times New Roman" w:hAnsi="Times New Roman"/>
          <w:sz w:val="4"/>
        </w:rPr>
      </w:pPr>
    </w:p>
    <w:p w14:paraId="4B534A9C" w14:textId="5394543E" w:rsidR="00582079" w:rsidRPr="0053777F" w:rsidRDefault="00582079" w:rsidP="00582079">
      <w:pPr>
        <w:widowControl w:val="0"/>
        <w:numPr>
          <w:ilvl w:val="0"/>
          <w:numId w:val="1"/>
        </w:numPr>
        <w:overflowPunct w:val="0"/>
        <w:autoSpaceDE w:val="0"/>
        <w:autoSpaceDN w:val="0"/>
        <w:adjustRightInd w:val="0"/>
        <w:ind w:left="720" w:hanging="270"/>
        <w:jc w:val="both"/>
        <w:rPr>
          <w:rFonts w:ascii="Times New Roman" w:hAnsi="Times New Roman"/>
          <w:sz w:val="24"/>
          <w:szCs w:val="24"/>
        </w:rPr>
      </w:pPr>
      <w:r w:rsidRPr="0053777F">
        <w:rPr>
          <w:rFonts w:ascii="Times New Roman" w:hAnsi="Times New Roman"/>
          <w:sz w:val="24"/>
          <w:szCs w:val="24"/>
        </w:rPr>
        <w:t xml:space="preserve">Eradicating hunger, poverty and malnutrition, promoting health care </w:t>
      </w:r>
      <w:r>
        <w:rPr>
          <w:rFonts w:ascii="Times New Roman" w:hAnsi="Times New Roman"/>
          <w:sz w:val="24"/>
          <w:szCs w:val="24"/>
        </w:rPr>
        <w:t xml:space="preserve">including </w:t>
      </w:r>
      <w:r w:rsidRPr="0053777F">
        <w:rPr>
          <w:rFonts w:ascii="Times New Roman" w:hAnsi="Times New Roman"/>
          <w:sz w:val="24"/>
          <w:szCs w:val="24"/>
        </w:rPr>
        <w:t xml:space="preserve">preventive health care and sanitation </w:t>
      </w:r>
      <w:r w:rsidRPr="00582079">
        <w:rPr>
          <w:rFonts w:ascii="Times New Roman" w:hAnsi="Times New Roman"/>
          <w:sz w:val="24"/>
          <w:szCs w:val="24"/>
        </w:rPr>
        <w:t>including contribution to the Swachh Bharat Kosh set-up by the Central Government for the promotion of sanitation</w:t>
      </w:r>
      <w:r w:rsidRPr="00582079">
        <w:rPr>
          <w:rFonts w:ascii="Times New Roman" w:hAnsi="Times New Roman"/>
          <w:sz w:val="24"/>
          <w:szCs w:val="24"/>
        </w:rPr>
        <w:t xml:space="preserve"> </w:t>
      </w:r>
      <w:r w:rsidRPr="0053777F">
        <w:rPr>
          <w:rFonts w:ascii="Times New Roman" w:hAnsi="Times New Roman"/>
          <w:sz w:val="24"/>
          <w:szCs w:val="24"/>
        </w:rPr>
        <w:t>and making available safe drinking water;</w:t>
      </w:r>
    </w:p>
    <w:p w14:paraId="556216E4" w14:textId="77777777" w:rsidR="00582079" w:rsidRPr="0053777F" w:rsidRDefault="00582079" w:rsidP="00582079">
      <w:pPr>
        <w:widowControl w:val="0"/>
        <w:numPr>
          <w:ilvl w:val="0"/>
          <w:numId w:val="1"/>
        </w:numPr>
        <w:overflowPunct w:val="0"/>
        <w:autoSpaceDE w:val="0"/>
        <w:autoSpaceDN w:val="0"/>
        <w:adjustRightInd w:val="0"/>
        <w:ind w:left="720" w:hanging="270"/>
        <w:jc w:val="both"/>
        <w:rPr>
          <w:rFonts w:ascii="Times New Roman" w:hAnsi="Times New Roman"/>
          <w:sz w:val="24"/>
          <w:szCs w:val="24"/>
        </w:rPr>
      </w:pPr>
      <w:r w:rsidRPr="0053777F">
        <w:rPr>
          <w:rFonts w:ascii="Times New Roman" w:hAnsi="Times New Roman"/>
          <w:sz w:val="24"/>
          <w:szCs w:val="24"/>
        </w:rPr>
        <w:t>Promoting education, including special education and employment enhancing vocation skills especially among children, women, elderly, and the differently abled and livelihood enhancement projects;</w:t>
      </w:r>
    </w:p>
    <w:p w14:paraId="2F1508F6" w14:textId="77777777" w:rsidR="00582079" w:rsidRPr="0053777F" w:rsidRDefault="00582079" w:rsidP="00582079">
      <w:pPr>
        <w:widowControl w:val="0"/>
        <w:numPr>
          <w:ilvl w:val="0"/>
          <w:numId w:val="1"/>
        </w:numPr>
        <w:overflowPunct w:val="0"/>
        <w:autoSpaceDE w:val="0"/>
        <w:autoSpaceDN w:val="0"/>
        <w:adjustRightInd w:val="0"/>
        <w:ind w:left="720" w:hanging="270"/>
        <w:jc w:val="both"/>
        <w:rPr>
          <w:rFonts w:ascii="Times New Roman" w:hAnsi="Times New Roman"/>
          <w:sz w:val="24"/>
          <w:szCs w:val="24"/>
        </w:rPr>
      </w:pPr>
      <w:r w:rsidRPr="0053777F">
        <w:rPr>
          <w:rFonts w:ascii="Times New Roman" w:hAnsi="Times New Roman"/>
          <w:sz w:val="24"/>
          <w:szCs w:val="24"/>
        </w:rPr>
        <w:t>Promoting gender equality, empowering women, setting up homes and hostels for women and orphans; setting up old age homes, day care centres and such other facilities for senior citizens and measures for reducing inequalities faced by socially and economically backward groups;</w:t>
      </w:r>
    </w:p>
    <w:p w14:paraId="5505A0EE" w14:textId="42E2D7B4" w:rsidR="00582079" w:rsidRPr="0053777F" w:rsidRDefault="00582079" w:rsidP="00582079">
      <w:pPr>
        <w:widowControl w:val="0"/>
        <w:numPr>
          <w:ilvl w:val="0"/>
          <w:numId w:val="1"/>
        </w:numPr>
        <w:overflowPunct w:val="0"/>
        <w:autoSpaceDE w:val="0"/>
        <w:autoSpaceDN w:val="0"/>
        <w:adjustRightInd w:val="0"/>
        <w:ind w:left="720" w:hanging="270"/>
        <w:jc w:val="both"/>
        <w:rPr>
          <w:rFonts w:ascii="Times New Roman" w:hAnsi="Times New Roman"/>
          <w:sz w:val="24"/>
          <w:szCs w:val="24"/>
        </w:rPr>
      </w:pPr>
      <w:r w:rsidRPr="0053777F">
        <w:rPr>
          <w:rFonts w:ascii="Times New Roman" w:hAnsi="Times New Roman"/>
          <w:sz w:val="24"/>
          <w:szCs w:val="24"/>
        </w:rPr>
        <w:t>Ensuring environmental sustainability, ecological balance, protection of flora and fauna, animal welfare, agroforestry, conservation of natural resources and maintaining quality of soil, air and water</w:t>
      </w:r>
      <w:r>
        <w:rPr>
          <w:rFonts w:ascii="Times New Roman" w:hAnsi="Times New Roman"/>
          <w:sz w:val="24"/>
          <w:szCs w:val="24"/>
        </w:rPr>
        <w:t xml:space="preserve"> </w:t>
      </w:r>
      <w:r w:rsidRPr="00582079">
        <w:rPr>
          <w:rFonts w:ascii="Times New Roman" w:hAnsi="Times New Roman"/>
          <w:sz w:val="24"/>
          <w:szCs w:val="24"/>
        </w:rPr>
        <w:t>including contribution to the Clean Ganga Fund set-up by the Central Government for rejuvenation of river Ganga</w:t>
      </w:r>
      <w:r w:rsidRPr="0053777F">
        <w:rPr>
          <w:rFonts w:ascii="Times New Roman" w:hAnsi="Times New Roman"/>
          <w:sz w:val="24"/>
          <w:szCs w:val="24"/>
        </w:rPr>
        <w:t>;</w:t>
      </w:r>
    </w:p>
    <w:p w14:paraId="53FBA2F3" w14:textId="77777777" w:rsidR="00582079" w:rsidRPr="0053777F" w:rsidRDefault="00582079" w:rsidP="00582079">
      <w:pPr>
        <w:widowControl w:val="0"/>
        <w:numPr>
          <w:ilvl w:val="0"/>
          <w:numId w:val="1"/>
        </w:numPr>
        <w:overflowPunct w:val="0"/>
        <w:autoSpaceDE w:val="0"/>
        <w:autoSpaceDN w:val="0"/>
        <w:adjustRightInd w:val="0"/>
        <w:ind w:left="720" w:hanging="270"/>
        <w:jc w:val="both"/>
        <w:rPr>
          <w:rFonts w:ascii="Times New Roman" w:hAnsi="Times New Roman"/>
          <w:sz w:val="24"/>
          <w:szCs w:val="24"/>
        </w:rPr>
      </w:pPr>
      <w:r w:rsidRPr="0053777F">
        <w:rPr>
          <w:rFonts w:ascii="Times New Roman" w:hAnsi="Times New Roman"/>
          <w:sz w:val="24"/>
          <w:szCs w:val="24"/>
        </w:rPr>
        <w:t>Protection of national heritage, art and culture including restoration of buildings and sites of historical importance and works of art; setting up public libraries; promotion and development of traditional arts and handicrafts;</w:t>
      </w:r>
    </w:p>
    <w:p w14:paraId="77A731F8" w14:textId="01444985" w:rsidR="00582079" w:rsidRPr="0053777F" w:rsidRDefault="00582079" w:rsidP="00582079">
      <w:pPr>
        <w:widowControl w:val="0"/>
        <w:numPr>
          <w:ilvl w:val="0"/>
          <w:numId w:val="1"/>
        </w:numPr>
        <w:overflowPunct w:val="0"/>
        <w:autoSpaceDE w:val="0"/>
        <w:autoSpaceDN w:val="0"/>
        <w:adjustRightInd w:val="0"/>
        <w:ind w:left="720" w:hanging="270"/>
        <w:jc w:val="both"/>
        <w:rPr>
          <w:rFonts w:ascii="Times New Roman" w:hAnsi="Times New Roman"/>
          <w:sz w:val="24"/>
          <w:szCs w:val="24"/>
        </w:rPr>
      </w:pPr>
      <w:r w:rsidRPr="0053777F">
        <w:rPr>
          <w:rFonts w:ascii="Times New Roman" w:hAnsi="Times New Roman"/>
          <w:sz w:val="24"/>
          <w:szCs w:val="24"/>
        </w:rPr>
        <w:t>Measures for the benefit of armed forces veterans, war widows and their dependents</w:t>
      </w:r>
      <w:r>
        <w:rPr>
          <w:rFonts w:ascii="Times New Roman" w:hAnsi="Times New Roman"/>
          <w:sz w:val="24"/>
          <w:szCs w:val="24"/>
        </w:rPr>
        <w:t xml:space="preserve">, </w:t>
      </w:r>
      <w:r w:rsidRPr="00582079">
        <w:rPr>
          <w:rFonts w:ascii="Times New Roman" w:hAnsi="Times New Roman"/>
          <w:sz w:val="24"/>
          <w:szCs w:val="24"/>
        </w:rPr>
        <w:t>Central Armed Police Forces (CAPF) and Central Para Military Forces (CPMF) veterans, and their dependents including widows</w:t>
      </w:r>
      <w:r w:rsidRPr="0053777F">
        <w:rPr>
          <w:rFonts w:ascii="Times New Roman" w:hAnsi="Times New Roman"/>
          <w:sz w:val="24"/>
          <w:szCs w:val="24"/>
        </w:rPr>
        <w:t>;</w:t>
      </w:r>
    </w:p>
    <w:p w14:paraId="6434F44C" w14:textId="77777777" w:rsidR="00582079" w:rsidRPr="0053777F" w:rsidRDefault="00582079" w:rsidP="00582079">
      <w:pPr>
        <w:widowControl w:val="0"/>
        <w:numPr>
          <w:ilvl w:val="0"/>
          <w:numId w:val="1"/>
        </w:numPr>
        <w:overflowPunct w:val="0"/>
        <w:autoSpaceDE w:val="0"/>
        <w:autoSpaceDN w:val="0"/>
        <w:adjustRightInd w:val="0"/>
        <w:ind w:left="720" w:hanging="270"/>
        <w:jc w:val="both"/>
        <w:rPr>
          <w:rFonts w:ascii="Times New Roman" w:hAnsi="Times New Roman"/>
          <w:sz w:val="24"/>
          <w:szCs w:val="24"/>
        </w:rPr>
      </w:pPr>
      <w:r w:rsidRPr="0053777F">
        <w:rPr>
          <w:rFonts w:ascii="Times New Roman" w:hAnsi="Times New Roman"/>
          <w:sz w:val="24"/>
          <w:szCs w:val="24"/>
        </w:rPr>
        <w:t>Training to promote rural sports, nationally recognised sports, paralympic sports and Olympic sports;</w:t>
      </w:r>
    </w:p>
    <w:p w14:paraId="5E8CF587" w14:textId="1980F7D4" w:rsidR="00582079" w:rsidRPr="0053777F" w:rsidRDefault="00582079" w:rsidP="00582079">
      <w:pPr>
        <w:widowControl w:val="0"/>
        <w:numPr>
          <w:ilvl w:val="0"/>
          <w:numId w:val="1"/>
        </w:numPr>
        <w:overflowPunct w:val="0"/>
        <w:autoSpaceDE w:val="0"/>
        <w:autoSpaceDN w:val="0"/>
        <w:adjustRightInd w:val="0"/>
        <w:ind w:left="720" w:hanging="270"/>
        <w:jc w:val="both"/>
        <w:rPr>
          <w:rFonts w:ascii="Times New Roman" w:hAnsi="Times New Roman"/>
          <w:sz w:val="24"/>
          <w:szCs w:val="24"/>
        </w:rPr>
      </w:pPr>
      <w:r w:rsidRPr="0053777F">
        <w:rPr>
          <w:rFonts w:ascii="Times New Roman" w:hAnsi="Times New Roman"/>
          <w:sz w:val="24"/>
          <w:szCs w:val="24"/>
        </w:rPr>
        <w:t>Contribution to the Prime Minister's National Relief Fund or</w:t>
      </w:r>
      <w:r w:rsidRPr="00582079">
        <w:rPr>
          <w:rFonts w:ascii="Times New Roman" w:hAnsi="Times New Roman"/>
          <w:sz w:val="24"/>
          <w:szCs w:val="24"/>
        </w:rPr>
        <w:t xml:space="preserve"> Prime Minister’s Citizen Assistance and Relief in Emergency Situations Fund (PM CARES Fund</w:t>
      </w:r>
      <w:r>
        <w:rPr>
          <w:rFonts w:ascii="Times New Roman" w:hAnsi="Times New Roman"/>
          <w:sz w:val="24"/>
          <w:szCs w:val="24"/>
        </w:rPr>
        <w:t xml:space="preserve">) or </w:t>
      </w:r>
      <w:r w:rsidRPr="0053777F">
        <w:rPr>
          <w:rFonts w:ascii="Times New Roman" w:hAnsi="Times New Roman"/>
          <w:sz w:val="24"/>
          <w:szCs w:val="24"/>
        </w:rPr>
        <w:t>any other fund set up by the Central Government for socio-economic development and relief and welfare of the Scheduled Castes, the Scheduled Tribes, other backward classes, minorities and women;</w:t>
      </w:r>
    </w:p>
    <w:p w14:paraId="03907DEF" w14:textId="5279B3A6" w:rsidR="00582079" w:rsidRDefault="00582079" w:rsidP="00582079">
      <w:pPr>
        <w:widowControl w:val="0"/>
        <w:numPr>
          <w:ilvl w:val="0"/>
          <w:numId w:val="1"/>
        </w:numPr>
        <w:overflowPunct w:val="0"/>
        <w:autoSpaceDE w:val="0"/>
        <w:autoSpaceDN w:val="0"/>
        <w:adjustRightInd w:val="0"/>
        <w:spacing w:after="0"/>
        <w:ind w:left="720" w:hanging="270"/>
        <w:jc w:val="both"/>
        <w:rPr>
          <w:rFonts w:ascii="Times New Roman" w:hAnsi="Times New Roman"/>
          <w:b/>
          <w:u w:val="single"/>
        </w:rPr>
      </w:pPr>
      <w:r>
        <w:rPr>
          <w:rFonts w:ascii="Times New Roman" w:hAnsi="Times New Roman"/>
          <w:sz w:val="24"/>
          <w:szCs w:val="24"/>
        </w:rPr>
        <w:t xml:space="preserve">(a) </w:t>
      </w:r>
      <w:r w:rsidRPr="00582079">
        <w:rPr>
          <w:rFonts w:ascii="Times New Roman" w:hAnsi="Times New Roman"/>
          <w:sz w:val="24"/>
          <w:szCs w:val="24"/>
        </w:rPr>
        <w:t>Contribution to incubators or research and development projects in the field of science, technology, engineering and medicine, funded by the Central Government or State Government or Public Sector Undertaking or any agency of the Central Government or State Government</w:t>
      </w:r>
      <w:r>
        <w:rPr>
          <w:rFonts w:ascii="Times New Roman" w:hAnsi="Times New Roman"/>
          <w:sz w:val="24"/>
          <w:szCs w:val="24"/>
        </w:rPr>
        <w:t xml:space="preserve"> </w:t>
      </w:r>
      <w:r w:rsidRPr="0053777F">
        <w:rPr>
          <w:rFonts w:ascii="Times New Roman" w:hAnsi="Times New Roman"/>
          <w:sz w:val="24"/>
          <w:szCs w:val="24"/>
        </w:rPr>
        <w:t>Rural development projects."</w:t>
      </w:r>
    </w:p>
    <w:p w14:paraId="68AA100F" w14:textId="77777777" w:rsidR="00582079" w:rsidRDefault="00582079" w:rsidP="00582079">
      <w:pPr>
        <w:widowControl w:val="0"/>
        <w:overflowPunct w:val="0"/>
        <w:autoSpaceDE w:val="0"/>
        <w:autoSpaceDN w:val="0"/>
        <w:adjustRightInd w:val="0"/>
        <w:spacing w:after="0"/>
        <w:ind w:left="720"/>
        <w:jc w:val="both"/>
        <w:rPr>
          <w:rFonts w:ascii="Times New Roman" w:hAnsi="Times New Roman"/>
          <w:b/>
          <w:u w:val="single"/>
        </w:rPr>
      </w:pPr>
    </w:p>
    <w:p w14:paraId="0C84D35E" w14:textId="21EDD228" w:rsidR="009A151B" w:rsidRDefault="00582079" w:rsidP="00582079">
      <w:pPr>
        <w:widowControl w:val="0"/>
        <w:overflowPunct w:val="0"/>
        <w:autoSpaceDE w:val="0"/>
        <w:autoSpaceDN w:val="0"/>
        <w:adjustRightInd w:val="0"/>
        <w:spacing w:after="0"/>
        <w:ind w:left="720"/>
        <w:jc w:val="both"/>
        <w:rPr>
          <w:rFonts w:ascii="Times New Roman" w:hAnsi="Times New Roman"/>
          <w:sz w:val="24"/>
          <w:szCs w:val="24"/>
        </w:rPr>
      </w:pPr>
      <w:r>
        <w:rPr>
          <w:rFonts w:ascii="Times New Roman" w:hAnsi="Times New Roman"/>
          <w:sz w:val="24"/>
          <w:szCs w:val="24"/>
        </w:rPr>
        <w:t xml:space="preserve">(b) </w:t>
      </w:r>
      <w:r w:rsidRPr="00582079">
        <w:rPr>
          <w:rFonts w:ascii="Times New Roman" w:hAnsi="Times New Roman"/>
          <w:sz w:val="24"/>
          <w:szCs w:val="24"/>
        </w:rPr>
        <w:t xml:space="preserve">Contributions to public funded Universities; Indian Institute of Technology (IITs); National Laboratories and autonomous bodies established under Department of Atomic </w:t>
      </w:r>
      <w:r w:rsidRPr="00582079">
        <w:rPr>
          <w:rFonts w:ascii="Times New Roman" w:hAnsi="Times New Roman"/>
          <w:sz w:val="24"/>
          <w:szCs w:val="24"/>
        </w:rPr>
        <w:lastRenderedPageBreak/>
        <w:t>Energy (DAE); Department of Biotechnology (DBT); Department of Science and Technology (DST); Department of Pharmaceuticals; Ministry of Ayurveda, Yoga and Naturopathy, Unani, Siddha and Homoeopathy (AYUSH); Ministry of Electronics and Information Technology and other bodies, namely Defense Research and Development Organisation (DRDO); Indian Council of Agricultural Research (ICAR); Indian Council of Medical Research (ICMR) and Council of Scientific and Industrial Research (CSIR), engaged in conducting research in science, technology, engineering and medicine aimed at promoting Sustainable Development Goals (SDGs)</w:t>
      </w:r>
      <w:r>
        <w:rPr>
          <w:rFonts w:ascii="Times New Roman" w:hAnsi="Times New Roman"/>
          <w:sz w:val="24"/>
          <w:szCs w:val="24"/>
        </w:rPr>
        <w:t>;</w:t>
      </w:r>
    </w:p>
    <w:p w14:paraId="32DBB50A" w14:textId="77777777" w:rsidR="00582079" w:rsidRDefault="00582079" w:rsidP="00344CAB">
      <w:pPr>
        <w:pStyle w:val="ListParagraph"/>
        <w:spacing w:after="0" w:line="240" w:lineRule="auto"/>
        <w:rPr>
          <w:rFonts w:ascii="Times New Roman" w:hAnsi="Times New Roman"/>
          <w:sz w:val="24"/>
          <w:szCs w:val="24"/>
        </w:rPr>
      </w:pPr>
    </w:p>
    <w:p w14:paraId="58FD8E68" w14:textId="77777777" w:rsidR="00582079" w:rsidRDefault="00582079" w:rsidP="00582079">
      <w:pPr>
        <w:widowControl w:val="0"/>
        <w:numPr>
          <w:ilvl w:val="0"/>
          <w:numId w:val="1"/>
        </w:numPr>
        <w:overflowPunct w:val="0"/>
        <w:autoSpaceDE w:val="0"/>
        <w:autoSpaceDN w:val="0"/>
        <w:adjustRightInd w:val="0"/>
        <w:spacing w:after="0"/>
        <w:ind w:left="720" w:hanging="270"/>
        <w:jc w:val="both"/>
        <w:rPr>
          <w:rFonts w:ascii="Times New Roman" w:hAnsi="Times New Roman"/>
          <w:sz w:val="24"/>
          <w:szCs w:val="24"/>
          <w:lang w:val="en-IN"/>
        </w:rPr>
      </w:pPr>
      <w:r w:rsidRPr="00582079">
        <w:rPr>
          <w:rFonts w:ascii="Times New Roman" w:hAnsi="Times New Roman"/>
          <w:sz w:val="24"/>
          <w:szCs w:val="24"/>
          <w:lang w:val="en-IN"/>
        </w:rPr>
        <w:t>rural development projects</w:t>
      </w:r>
      <w:r>
        <w:rPr>
          <w:rFonts w:ascii="Times New Roman" w:hAnsi="Times New Roman"/>
          <w:sz w:val="24"/>
          <w:szCs w:val="24"/>
          <w:lang w:val="en-IN"/>
        </w:rPr>
        <w:t>;</w:t>
      </w:r>
    </w:p>
    <w:p w14:paraId="46E2926D" w14:textId="77777777" w:rsidR="00344CAB" w:rsidRDefault="00344CAB" w:rsidP="00344CAB">
      <w:pPr>
        <w:widowControl w:val="0"/>
        <w:overflowPunct w:val="0"/>
        <w:autoSpaceDE w:val="0"/>
        <w:autoSpaceDN w:val="0"/>
        <w:adjustRightInd w:val="0"/>
        <w:spacing w:after="0"/>
        <w:ind w:left="720"/>
        <w:jc w:val="both"/>
        <w:rPr>
          <w:rFonts w:ascii="Times New Roman" w:hAnsi="Times New Roman"/>
          <w:sz w:val="24"/>
          <w:szCs w:val="24"/>
          <w:lang w:val="en-IN"/>
        </w:rPr>
      </w:pPr>
    </w:p>
    <w:p w14:paraId="2E634E70" w14:textId="354038ED" w:rsidR="00582079" w:rsidRPr="00582079" w:rsidRDefault="00582079" w:rsidP="00582079">
      <w:pPr>
        <w:widowControl w:val="0"/>
        <w:numPr>
          <w:ilvl w:val="0"/>
          <w:numId w:val="1"/>
        </w:numPr>
        <w:overflowPunct w:val="0"/>
        <w:autoSpaceDE w:val="0"/>
        <w:autoSpaceDN w:val="0"/>
        <w:adjustRightInd w:val="0"/>
        <w:spacing w:after="0"/>
        <w:ind w:left="720" w:hanging="270"/>
        <w:jc w:val="both"/>
        <w:rPr>
          <w:rFonts w:ascii="Times New Roman" w:hAnsi="Times New Roman"/>
          <w:sz w:val="24"/>
          <w:szCs w:val="24"/>
          <w:lang w:val="en-IN"/>
        </w:rPr>
      </w:pPr>
      <w:r w:rsidRPr="00582079">
        <w:rPr>
          <w:rFonts w:ascii="Times New Roman" w:hAnsi="Times New Roman"/>
          <w:sz w:val="24"/>
          <w:szCs w:val="24"/>
          <w:lang w:val="en-IN"/>
        </w:rPr>
        <w:t>slum area development</w:t>
      </w:r>
      <w:r w:rsidR="00344CAB">
        <w:rPr>
          <w:rFonts w:ascii="Times New Roman" w:hAnsi="Times New Roman"/>
          <w:sz w:val="24"/>
          <w:szCs w:val="24"/>
          <w:lang w:val="en-IN"/>
        </w:rPr>
        <w:t>;</w:t>
      </w:r>
    </w:p>
    <w:p w14:paraId="302DF2D0" w14:textId="77777777" w:rsidR="00582079" w:rsidRDefault="00582079" w:rsidP="00582079">
      <w:pPr>
        <w:widowControl w:val="0"/>
        <w:overflowPunct w:val="0"/>
        <w:autoSpaceDE w:val="0"/>
        <w:autoSpaceDN w:val="0"/>
        <w:adjustRightInd w:val="0"/>
        <w:spacing w:after="0"/>
        <w:ind w:left="720"/>
        <w:jc w:val="both"/>
        <w:rPr>
          <w:rFonts w:ascii="Times New Roman" w:hAnsi="Times New Roman"/>
          <w:sz w:val="24"/>
          <w:szCs w:val="24"/>
          <w:lang w:val="en-IN"/>
        </w:rPr>
      </w:pPr>
    </w:p>
    <w:p w14:paraId="32C4F083" w14:textId="2A06ED5A" w:rsidR="00582079" w:rsidRPr="00582079" w:rsidRDefault="00582079" w:rsidP="00582079">
      <w:pPr>
        <w:widowControl w:val="0"/>
        <w:overflowPunct w:val="0"/>
        <w:autoSpaceDE w:val="0"/>
        <w:autoSpaceDN w:val="0"/>
        <w:adjustRightInd w:val="0"/>
        <w:spacing w:after="0"/>
        <w:ind w:left="720"/>
        <w:jc w:val="both"/>
        <w:rPr>
          <w:rFonts w:ascii="Times New Roman" w:hAnsi="Times New Roman"/>
          <w:sz w:val="24"/>
          <w:szCs w:val="24"/>
          <w:lang w:val="en-IN"/>
        </w:rPr>
      </w:pPr>
      <w:r w:rsidRPr="00582079">
        <w:rPr>
          <w:rFonts w:ascii="Times New Roman" w:hAnsi="Times New Roman"/>
          <w:sz w:val="24"/>
          <w:szCs w:val="24"/>
          <w:lang w:val="en-IN"/>
        </w:rPr>
        <w:t>Explanation- For the purposes of this item, the term `slum area' shall mean any area declared as such by the Central Government or any State Government or any other competent authority under any law for the time being in force.</w:t>
      </w:r>
    </w:p>
    <w:p w14:paraId="04FE15DA" w14:textId="77777777" w:rsidR="00344CAB" w:rsidRDefault="00344CAB" w:rsidP="00344CAB">
      <w:pPr>
        <w:widowControl w:val="0"/>
        <w:overflowPunct w:val="0"/>
        <w:autoSpaceDE w:val="0"/>
        <w:autoSpaceDN w:val="0"/>
        <w:adjustRightInd w:val="0"/>
        <w:spacing w:after="0"/>
        <w:jc w:val="both"/>
        <w:rPr>
          <w:rFonts w:ascii="Times New Roman" w:hAnsi="Times New Roman"/>
          <w:sz w:val="24"/>
          <w:szCs w:val="24"/>
          <w:lang w:val="en-IN"/>
        </w:rPr>
      </w:pPr>
    </w:p>
    <w:p w14:paraId="484BA0F0" w14:textId="22990944" w:rsidR="00582079" w:rsidRPr="00582079" w:rsidRDefault="00582079" w:rsidP="00344CAB">
      <w:pPr>
        <w:widowControl w:val="0"/>
        <w:overflowPunct w:val="0"/>
        <w:autoSpaceDE w:val="0"/>
        <w:autoSpaceDN w:val="0"/>
        <w:adjustRightInd w:val="0"/>
        <w:spacing w:after="0"/>
        <w:jc w:val="both"/>
        <w:rPr>
          <w:rFonts w:ascii="Times New Roman" w:hAnsi="Times New Roman"/>
          <w:sz w:val="24"/>
          <w:szCs w:val="24"/>
          <w:lang w:val="en-IN"/>
        </w:rPr>
      </w:pPr>
      <w:r w:rsidRPr="00582079">
        <w:rPr>
          <w:rFonts w:ascii="Times New Roman" w:hAnsi="Times New Roman"/>
          <w:sz w:val="24"/>
          <w:szCs w:val="24"/>
          <w:lang w:val="en-IN"/>
        </w:rPr>
        <w:t>(xii) disaster management, including relief, rehabilitation and reconstruction activities.</w:t>
      </w:r>
    </w:p>
    <w:p w14:paraId="6B4E3888" w14:textId="77777777" w:rsidR="00582079" w:rsidRPr="00582079" w:rsidRDefault="00582079" w:rsidP="00344CAB">
      <w:pPr>
        <w:widowControl w:val="0"/>
        <w:overflowPunct w:val="0"/>
        <w:autoSpaceDE w:val="0"/>
        <w:autoSpaceDN w:val="0"/>
        <w:adjustRightInd w:val="0"/>
        <w:spacing w:after="0"/>
        <w:ind w:left="720"/>
        <w:jc w:val="both"/>
        <w:rPr>
          <w:rFonts w:ascii="Times New Roman" w:hAnsi="Times New Roman"/>
          <w:sz w:val="24"/>
          <w:szCs w:val="24"/>
        </w:rPr>
      </w:pPr>
    </w:p>
    <w:sectPr w:rsidR="00582079" w:rsidRPr="00582079" w:rsidSect="00582079">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449B4"/>
    <w:multiLevelType w:val="hybridMultilevel"/>
    <w:tmpl w:val="FFFFFFFF"/>
    <w:lvl w:ilvl="0" w:tplc="CEE60DF6">
      <w:start w:val="1"/>
      <w:numFmt w:val="lowerRoman"/>
      <w:lvlText w:val="(%1)"/>
      <w:lvlJc w:val="right"/>
      <w:pPr>
        <w:ind w:left="1368" w:hanging="360"/>
      </w:pPr>
      <w:rPr>
        <w:rFonts w:cs="Times New Roman" w:hint="default"/>
        <w:b w:val="0"/>
        <w:sz w:val="24"/>
        <w:szCs w:val="24"/>
      </w:rPr>
    </w:lvl>
    <w:lvl w:ilvl="1" w:tplc="04090019" w:tentative="1">
      <w:start w:val="1"/>
      <w:numFmt w:val="lowerLetter"/>
      <w:lvlText w:val="%2."/>
      <w:lvlJc w:val="left"/>
      <w:pPr>
        <w:ind w:left="2088" w:hanging="360"/>
      </w:pPr>
      <w:rPr>
        <w:rFonts w:cs="Times New Roman"/>
      </w:rPr>
    </w:lvl>
    <w:lvl w:ilvl="2" w:tplc="0409001B" w:tentative="1">
      <w:start w:val="1"/>
      <w:numFmt w:val="lowerRoman"/>
      <w:lvlText w:val="%3."/>
      <w:lvlJc w:val="right"/>
      <w:pPr>
        <w:ind w:left="2808" w:hanging="180"/>
      </w:pPr>
      <w:rPr>
        <w:rFonts w:cs="Times New Roman"/>
      </w:rPr>
    </w:lvl>
    <w:lvl w:ilvl="3" w:tplc="0409000F" w:tentative="1">
      <w:start w:val="1"/>
      <w:numFmt w:val="decimal"/>
      <w:lvlText w:val="%4."/>
      <w:lvlJc w:val="left"/>
      <w:pPr>
        <w:ind w:left="3528" w:hanging="360"/>
      </w:pPr>
      <w:rPr>
        <w:rFonts w:cs="Times New Roman"/>
      </w:rPr>
    </w:lvl>
    <w:lvl w:ilvl="4" w:tplc="04090019" w:tentative="1">
      <w:start w:val="1"/>
      <w:numFmt w:val="lowerLetter"/>
      <w:lvlText w:val="%5."/>
      <w:lvlJc w:val="left"/>
      <w:pPr>
        <w:ind w:left="4248" w:hanging="360"/>
      </w:pPr>
      <w:rPr>
        <w:rFonts w:cs="Times New Roman"/>
      </w:rPr>
    </w:lvl>
    <w:lvl w:ilvl="5" w:tplc="0409001B" w:tentative="1">
      <w:start w:val="1"/>
      <w:numFmt w:val="lowerRoman"/>
      <w:lvlText w:val="%6."/>
      <w:lvlJc w:val="right"/>
      <w:pPr>
        <w:ind w:left="4968" w:hanging="180"/>
      </w:pPr>
      <w:rPr>
        <w:rFonts w:cs="Times New Roman"/>
      </w:rPr>
    </w:lvl>
    <w:lvl w:ilvl="6" w:tplc="0409000F" w:tentative="1">
      <w:start w:val="1"/>
      <w:numFmt w:val="decimal"/>
      <w:lvlText w:val="%7."/>
      <w:lvlJc w:val="left"/>
      <w:pPr>
        <w:ind w:left="5688" w:hanging="360"/>
      </w:pPr>
      <w:rPr>
        <w:rFonts w:cs="Times New Roman"/>
      </w:rPr>
    </w:lvl>
    <w:lvl w:ilvl="7" w:tplc="04090019" w:tentative="1">
      <w:start w:val="1"/>
      <w:numFmt w:val="lowerLetter"/>
      <w:lvlText w:val="%8."/>
      <w:lvlJc w:val="left"/>
      <w:pPr>
        <w:ind w:left="6408" w:hanging="360"/>
      </w:pPr>
      <w:rPr>
        <w:rFonts w:cs="Times New Roman"/>
      </w:rPr>
    </w:lvl>
    <w:lvl w:ilvl="8" w:tplc="0409001B" w:tentative="1">
      <w:start w:val="1"/>
      <w:numFmt w:val="lowerRoman"/>
      <w:lvlText w:val="%9."/>
      <w:lvlJc w:val="right"/>
      <w:pPr>
        <w:ind w:left="7128" w:hanging="180"/>
      </w:pPr>
      <w:rPr>
        <w:rFonts w:cs="Times New Roman"/>
      </w:rPr>
    </w:lvl>
  </w:abstractNum>
  <w:num w:numId="1" w16cid:durableId="100455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46"/>
    <w:rsid w:val="00294CCE"/>
    <w:rsid w:val="00344CAB"/>
    <w:rsid w:val="00582079"/>
    <w:rsid w:val="008439DF"/>
    <w:rsid w:val="009A151B"/>
    <w:rsid w:val="00AC4146"/>
    <w:rsid w:val="00F13E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DF8B"/>
  <w15:chartTrackingRefBased/>
  <w15:docId w15:val="{FF60B688-8C28-4B0B-BD9F-9618DD8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6"/>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79"/>
    <w:pPr>
      <w:spacing w:after="200" w:line="276" w:lineRule="auto"/>
    </w:pPr>
    <w:rPr>
      <w:rFonts w:ascii="Calibri" w:eastAsia="Times New Roman" w:hAnsi="Calibri" w:cs="Times New Roman"/>
      <w:kern w:val="0"/>
      <w:szCs w:val="22"/>
      <w:lang w:val="en-US"/>
      <w14:ligatures w14:val="none"/>
    </w:rPr>
  </w:style>
  <w:style w:type="paragraph" w:styleId="Heading1">
    <w:name w:val="heading 1"/>
    <w:basedOn w:val="Normal"/>
    <w:next w:val="Normal"/>
    <w:link w:val="Heading1Char"/>
    <w:uiPriority w:val="9"/>
    <w:qFormat/>
    <w:rsid w:val="00AC41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41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414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414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414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C41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41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41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41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1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41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414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414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414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41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41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41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41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4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1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1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4146"/>
    <w:pPr>
      <w:spacing w:before="160"/>
      <w:jc w:val="center"/>
    </w:pPr>
    <w:rPr>
      <w:i/>
      <w:iCs/>
      <w:color w:val="404040" w:themeColor="text1" w:themeTint="BF"/>
    </w:rPr>
  </w:style>
  <w:style w:type="character" w:customStyle="1" w:styleId="QuoteChar">
    <w:name w:val="Quote Char"/>
    <w:basedOn w:val="DefaultParagraphFont"/>
    <w:link w:val="Quote"/>
    <w:uiPriority w:val="29"/>
    <w:rsid w:val="00AC4146"/>
    <w:rPr>
      <w:i/>
      <w:iCs/>
      <w:color w:val="404040" w:themeColor="text1" w:themeTint="BF"/>
    </w:rPr>
  </w:style>
  <w:style w:type="paragraph" w:styleId="ListParagraph">
    <w:name w:val="List Paragraph"/>
    <w:basedOn w:val="Normal"/>
    <w:uiPriority w:val="34"/>
    <w:qFormat/>
    <w:rsid w:val="00AC4146"/>
    <w:pPr>
      <w:ind w:left="720"/>
      <w:contextualSpacing/>
    </w:pPr>
  </w:style>
  <w:style w:type="character" w:styleId="IntenseEmphasis">
    <w:name w:val="Intense Emphasis"/>
    <w:basedOn w:val="DefaultParagraphFont"/>
    <w:uiPriority w:val="21"/>
    <w:qFormat/>
    <w:rsid w:val="00AC4146"/>
    <w:rPr>
      <w:i/>
      <w:iCs/>
      <w:color w:val="2F5496" w:themeColor="accent1" w:themeShade="BF"/>
    </w:rPr>
  </w:style>
  <w:style w:type="paragraph" w:styleId="IntenseQuote">
    <w:name w:val="Intense Quote"/>
    <w:basedOn w:val="Normal"/>
    <w:next w:val="Normal"/>
    <w:link w:val="IntenseQuoteChar"/>
    <w:uiPriority w:val="30"/>
    <w:qFormat/>
    <w:rsid w:val="00AC4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4146"/>
    <w:rPr>
      <w:i/>
      <w:iCs/>
      <w:color w:val="2F5496" w:themeColor="accent1" w:themeShade="BF"/>
    </w:rPr>
  </w:style>
  <w:style w:type="character" w:styleId="IntenseReference">
    <w:name w:val="Intense Reference"/>
    <w:basedOn w:val="DefaultParagraphFont"/>
    <w:uiPriority w:val="32"/>
    <w:qFormat/>
    <w:rsid w:val="00AC4146"/>
    <w:rPr>
      <w:b/>
      <w:bCs/>
      <w:smallCaps/>
      <w:color w:val="2F5496" w:themeColor="accent1" w:themeShade="BF"/>
      <w:spacing w:val="5"/>
    </w:rPr>
  </w:style>
  <w:style w:type="character" w:styleId="Hyperlink">
    <w:name w:val="Hyperlink"/>
    <w:basedOn w:val="DefaultParagraphFont"/>
    <w:uiPriority w:val="99"/>
    <w:unhideWhenUsed/>
    <w:rsid w:val="00582079"/>
    <w:rPr>
      <w:color w:val="0563C1" w:themeColor="hyperlink"/>
      <w:u w:val="single"/>
    </w:rPr>
  </w:style>
  <w:style w:type="character" w:styleId="UnresolvedMention">
    <w:name w:val="Unresolved Mention"/>
    <w:basedOn w:val="DefaultParagraphFont"/>
    <w:uiPriority w:val="99"/>
    <w:semiHidden/>
    <w:unhideWhenUsed/>
    <w:rsid w:val="00582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65">
      <w:bodyDiv w:val="1"/>
      <w:marLeft w:val="0"/>
      <w:marRight w:val="0"/>
      <w:marTop w:val="0"/>
      <w:marBottom w:val="0"/>
      <w:divBdr>
        <w:top w:val="none" w:sz="0" w:space="0" w:color="auto"/>
        <w:left w:val="none" w:sz="0" w:space="0" w:color="auto"/>
        <w:bottom w:val="none" w:sz="0" w:space="0" w:color="auto"/>
        <w:right w:val="none" w:sz="0" w:space="0" w:color="auto"/>
      </w:divBdr>
    </w:div>
    <w:div w:id="15504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dc:creator>
  <cp:keywords/>
  <dc:description/>
  <cp:lastModifiedBy>UCC</cp:lastModifiedBy>
  <cp:revision>2</cp:revision>
  <dcterms:created xsi:type="dcterms:W3CDTF">2025-02-01T06:39:00Z</dcterms:created>
  <dcterms:modified xsi:type="dcterms:W3CDTF">2025-02-01T06:52:00Z</dcterms:modified>
</cp:coreProperties>
</file>